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5C" w:rsidRPr="000F20F6" w:rsidRDefault="00F94766" w:rsidP="000F20F6">
      <w:pPr>
        <w:spacing w:after="0" w:line="240" w:lineRule="auto"/>
        <w:jc w:val="center"/>
        <w:rPr>
          <w:b/>
          <w:sz w:val="28"/>
          <w:szCs w:val="28"/>
        </w:rPr>
      </w:pPr>
      <w:r w:rsidRPr="000F20F6">
        <w:rPr>
          <w:b/>
          <w:sz w:val="28"/>
          <w:szCs w:val="28"/>
        </w:rPr>
        <w:t>Sequence for the Progression of</w:t>
      </w:r>
      <w:r w:rsidR="001E5649" w:rsidRPr="000F20F6">
        <w:rPr>
          <w:b/>
          <w:sz w:val="28"/>
          <w:szCs w:val="28"/>
        </w:rPr>
        <w:t xml:space="preserve"> Math</w:t>
      </w:r>
      <w:r w:rsidR="005B69C2" w:rsidRPr="000F20F6">
        <w:rPr>
          <w:b/>
          <w:sz w:val="28"/>
          <w:szCs w:val="28"/>
        </w:rPr>
        <w:t xml:space="preserve"> Learning Activities</w:t>
      </w:r>
    </w:p>
    <w:p w:rsidR="00815C23" w:rsidRDefault="00815C23" w:rsidP="00340EA0">
      <w:pPr>
        <w:spacing w:after="0" w:line="240" w:lineRule="auto"/>
      </w:pPr>
      <w:r>
        <w:rPr>
          <w:noProof/>
        </w:rPr>
        <w:drawing>
          <wp:inline distT="0" distB="0" distL="0" distR="0" wp14:anchorId="4C20444A" wp14:editId="0CE8A3E7">
            <wp:extent cx="9016779" cy="1407381"/>
            <wp:effectExtent l="76200" t="0" r="8953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2E7B7F" w:rsidRPr="00FC33DD" w:rsidRDefault="008C7F34" w:rsidP="00DF328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</w:rPr>
      </w:pPr>
      <w:r w:rsidRPr="00FC33DD">
        <w:rPr>
          <w:b/>
        </w:rPr>
        <w:t>Big Pictur</w:t>
      </w:r>
      <w:r w:rsidR="002E7B7F" w:rsidRPr="00FC33DD">
        <w:rPr>
          <w:b/>
        </w:rPr>
        <w:t>e/</w:t>
      </w:r>
      <w:r w:rsidRPr="00FC33DD">
        <w:rPr>
          <w:b/>
        </w:rPr>
        <w:t>Context</w:t>
      </w:r>
    </w:p>
    <w:p w:rsidR="008C7F34" w:rsidRDefault="008C7F34" w:rsidP="00340EA0">
      <w:pPr>
        <w:spacing w:after="0" w:line="240" w:lineRule="auto"/>
      </w:pPr>
      <w:r>
        <w:t>T</w:t>
      </w:r>
      <w:r w:rsidR="001E5649">
        <w:t>he t</w:t>
      </w:r>
      <w:r>
        <w:t xml:space="preserve">eacher provides the big picture or context for learning the new concept by answering the questions, “What are we learning?” and “Why is this important?”  </w:t>
      </w:r>
      <w:r w:rsidRPr="00FC33DD">
        <w:rPr>
          <w:i/>
          <w:u w:val="single"/>
        </w:rPr>
        <w:t>Example</w:t>
      </w:r>
      <w:r w:rsidR="001E5649" w:rsidRPr="00FC33DD">
        <w:rPr>
          <w:i/>
          <w:u w:val="single"/>
        </w:rPr>
        <w:t>s</w:t>
      </w:r>
      <w:r w:rsidRPr="001A0FC1">
        <w:rPr>
          <w:i/>
          <w:u w:val="single"/>
        </w:rPr>
        <w:t>:</w:t>
      </w:r>
      <w:r>
        <w:t xml:space="preserve"> Pose a problem </w:t>
      </w:r>
      <w:r w:rsidR="001E5649">
        <w:t xml:space="preserve">or question </w:t>
      </w:r>
      <w:r>
        <w:t>where students m</w:t>
      </w:r>
      <w:r w:rsidR="001E5649">
        <w:t>ust use the new concept</w:t>
      </w:r>
      <w:r>
        <w:t>; provide a real-life context for the concept (i.e. newspaper/magazine article, television, video, song, etc.); use children’s literature to provide a context for the learning.</w:t>
      </w:r>
    </w:p>
    <w:p w:rsidR="00EE4199" w:rsidRDefault="00EE4199" w:rsidP="00340EA0">
      <w:pPr>
        <w:spacing w:after="0" w:line="240" w:lineRule="auto"/>
      </w:pPr>
      <w:r w:rsidRPr="00FC33DD">
        <w:rPr>
          <w:i/>
          <w:u w:val="single"/>
        </w:rPr>
        <w:t>Non-example</w:t>
      </w:r>
      <w:r w:rsidR="00260121" w:rsidRPr="00FC33DD">
        <w:rPr>
          <w:i/>
          <w:u w:val="single"/>
        </w:rPr>
        <w:t>s</w:t>
      </w:r>
      <w:r w:rsidRPr="001A0FC1">
        <w:rPr>
          <w:b/>
          <w:u w:val="single"/>
        </w:rPr>
        <w:t>:</w:t>
      </w:r>
      <w:r>
        <w:t xml:space="preserve"> </w:t>
      </w:r>
      <w:r w:rsidR="00260121">
        <w:t>“W</w:t>
      </w:r>
      <w:r>
        <w:t>e are learning this because it’</w:t>
      </w:r>
      <w:r w:rsidR="00260121">
        <w:t>s going to be on the CRCT or EOCT.” or “Learn this because I said so.”</w:t>
      </w:r>
    </w:p>
    <w:p w:rsidR="00DF328B" w:rsidRDefault="00DF328B" w:rsidP="00340EA0">
      <w:pPr>
        <w:spacing w:after="0" w:line="240" w:lineRule="auto"/>
      </w:pPr>
    </w:p>
    <w:p w:rsidR="00EE4199" w:rsidRPr="00FC33DD" w:rsidRDefault="00EE4199" w:rsidP="00DF328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</w:rPr>
      </w:pPr>
      <w:r w:rsidRPr="00FC33DD">
        <w:rPr>
          <w:b/>
        </w:rPr>
        <w:t>Sense Making Experiences</w:t>
      </w:r>
    </w:p>
    <w:p w:rsidR="00EE4199" w:rsidRDefault="00EE4199" w:rsidP="00340EA0">
      <w:pPr>
        <w:spacing w:after="0" w:line="240" w:lineRule="auto"/>
      </w:pPr>
      <w:r>
        <w:t>T</w:t>
      </w:r>
      <w:r w:rsidR="001E5649">
        <w:t>he t</w:t>
      </w:r>
      <w:r>
        <w:t>eacher provide</w:t>
      </w:r>
      <w:r w:rsidR="001E5649">
        <w:t>s</w:t>
      </w:r>
      <w:r>
        <w:t xml:space="preserve"> </w:t>
      </w:r>
      <w:r w:rsidR="00796DAA">
        <w:t xml:space="preserve">engaging </w:t>
      </w:r>
      <w:r>
        <w:t>activities where students are allowed to make sense of the mathema</w:t>
      </w:r>
      <w:r w:rsidR="005B69C2">
        <w:t>tics they are learning through activities</w:t>
      </w:r>
      <w:r w:rsidR="00600D44">
        <w:t xml:space="preserve"> that engage them in the</w:t>
      </w:r>
      <w:r w:rsidR="001E5649">
        <w:t xml:space="preserve"> </w:t>
      </w:r>
      <w:hyperlink r:id="rId11" w:history="1">
        <w:r w:rsidR="001E5649" w:rsidRPr="00B44E43">
          <w:rPr>
            <w:rStyle w:val="Hyperlink"/>
          </w:rPr>
          <w:t>Standards for Mathematical P</w:t>
        </w:r>
        <w:r w:rsidR="005B69C2" w:rsidRPr="00B44E43">
          <w:rPr>
            <w:rStyle w:val="Hyperlink"/>
          </w:rPr>
          <w:t>ractice</w:t>
        </w:r>
      </w:hyperlink>
      <w:r w:rsidR="005B69C2">
        <w:t>.</w:t>
      </w:r>
      <w:r w:rsidR="001E5649">
        <w:t xml:space="preserve">  Reflection on these experiences is critical for </w:t>
      </w:r>
      <w:r w:rsidR="00600D44">
        <w:t xml:space="preserve">students to be able to translate </w:t>
      </w:r>
      <w:r w:rsidR="001E5649">
        <w:t>these experience</w:t>
      </w:r>
      <w:r w:rsidR="00600D44">
        <w:t>s</w:t>
      </w:r>
      <w:r w:rsidR="001E5649">
        <w:t xml:space="preserve"> </w:t>
      </w:r>
      <w:r w:rsidR="00600D44">
        <w:t xml:space="preserve">into </w:t>
      </w:r>
      <w:r w:rsidR="001E5649">
        <w:t>understanding.</w:t>
      </w:r>
    </w:p>
    <w:p w:rsidR="00600D44" w:rsidRDefault="00600D44" w:rsidP="00340EA0">
      <w:pPr>
        <w:spacing w:after="0" w:line="240" w:lineRule="auto"/>
      </w:pPr>
      <w:r w:rsidRPr="00FC33DD">
        <w:rPr>
          <w:i/>
          <w:u w:val="single"/>
        </w:rPr>
        <w:t>Examples:</w:t>
      </w:r>
      <w:r>
        <w:t xml:space="preserve"> performance tas</w:t>
      </w:r>
      <w:r w:rsidR="00DF328B">
        <w:t xml:space="preserve">ks; hands-on activities; </w:t>
      </w:r>
      <w:hyperlink r:id="rId12" w:history="1">
        <w:r w:rsidR="00DF328B" w:rsidRPr="00B44E43">
          <w:rPr>
            <w:rStyle w:val="Hyperlink"/>
          </w:rPr>
          <w:t>co</w:t>
        </w:r>
        <w:r w:rsidR="00B44E43" w:rsidRPr="00B44E43">
          <w:rPr>
            <w:rStyle w:val="Hyperlink"/>
          </w:rPr>
          <w:t>ncrete-pictorial-abstract</w:t>
        </w:r>
      </w:hyperlink>
      <w:r w:rsidR="00B44E43">
        <w:t xml:space="preserve"> (CPA</w:t>
      </w:r>
      <w:r w:rsidR="00DF328B">
        <w:t>)</w:t>
      </w:r>
      <w:r w:rsidR="00B44E43">
        <w:t xml:space="preserve"> approach</w:t>
      </w:r>
      <w:r w:rsidR="00DF328B">
        <w:t xml:space="preserve">; </w:t>
      </w:r>
      <w:hyperlink r:id="rId13" w:history="1">
        <w:r w:rsidR="00485E7B" w:rsidRPr="00485E7B">
          <w:rPr>
            <w:rStyle w:val="Hyperlink"/>
          </w:rPr>
          <w:t>concept attainment</w:t>
        </w:r>
      </w:hyperlink>
      <w:bookmarkStart w:id="0" w:name="_GoBack"/>
      <w:bookmarkEnd w:id="0"/>
      <w:r w:rsidR="00485E7B">
        <w:t xml:space="preserve">; </w:t>
      </w:r>
      <w:r w:rsidR="00DF328B">
        <w:t xml:space="preserve">technology; </w:t>
      </w:r>
      <w:proofErr w:type="spellStart"/>
      <w:r>
        <w:t>manipulatives</w:t>
      </w:r>
      <w:proofErr w:type="spellEnd"/>
      <w:r>
        <w:t xml:space="preserve">; </w:t>
      </w:r>
      <w:hyperlink r:id="rId14" w:history="1">
        <w:r w:rsidRPr="008D453B">
          <w:rPr>
            <w:rStyle w:val="Hyperlink"/>
          </w:rPr>
          <w:t>interactive software and applets</w:t>
        </w:r>
      </w:hyperlink>
      <w:r>
        <w:t>, etc.</w:t>
      </w:r>
    </w:p>
    <w:p w:rsidR="00600D44" w:rsidRDefault="00600D44" w:rsidP="00340EA0">
      <w:pPr>
        <w:spacing w:after="0" w:line="240" w:lineRule="auto"/>
      </w:pPr>
      <w:r w:rsidRPr="00FC33DD">
        <w:rPr>
          <w:i/>
          <w:u w:val="single"/>
        </w:rPr>
        <w:t>Non-examples:</w:t>
      </w:r>
      <w:r>
        <w:t xml:space="preserve"> textbook assignments and worksheets</w:t>
      </w:r>
    </w:p>
    <w:p w:rsidR="00DF328B" w:rsidRDefault="00DF328B" w:rsidP="00340EA0">
      <w:pPr>
        <w:spacing w:after="0" w:line="240" w:lineRule="auto"/>
      </w:pPr>
    </w:p>
    <w:p w:rsidR="00600D44" w:rsidRPr="00FC33DD" w:rsidRDefault="00600D44" w:rsidP="00DF328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</w:rPr>
      </w:pPr>
      <w:r w:rsidRPr="00FC33DD">
        <w:rPr>
          <w:b/>
        </w:rPr>
        <w:t>Skills Practice</w:t>
      </w:r>
    </w:p>
    <w:p w:rsidR="00600D44" w:rsidRDefault="00600D44" w:rsidP="00340EA0">
      <w:pPr>
        <w:spacing w:after="0" w:line="240" w:lineRule="auto"/>
      </w:pPr>
      <w:r>
        <w:t>Once students have an understanding of what they are learning and why it is important, teachers should provide many opportunities for students t</w:t>
      </w:r>
      <w:r w:rsidR="00033266">
        <w:t xml:space="preserve">o practice </w:t>
      </w:r>
      <w:r w:rsidR="008D453B">
        <w:t>skills to</w:t>
      </w:r>
      <w:r w:rsidR="00033266">
        <w:t xml:space="preserve"> mastery </w:t>
      </w:r>
      <w:r>
        <w:t xml:space="preserve">in </w:t>
      </w:r>
      <w:r w:rsidR="008D453B">
        <w:t>engaging</w:t>
      </w:r>
      <w:r>
        <w:t xml:space="preserve"> ways.  </w:t>
      </w:r>
    </w:p>
    <w:p w:rsidR="00600D44" w:rsidRDefault="00600D44" w:rsidP="00340EA0">
      <w:pPr>
        <w:spacing w:after="0" w:line="240" w:lineRule="auto"/>
      </w:pPr>
      <w:r w:rsidRPr="00FC33DD">
        <w:rPr>
          <w:i/>
          <w:u w:val="single"/>
        </w:rPr>
        <w:t>Examples:</w:t>
      </w:r>
      <w:r>
        <w:t xml:space="preserve"> </w:t>
      </w:r>
      <w:hyperlink r:id="rId15" w:history="1">
        <w:r w:rsidRPr="005E6EED">
          <w:rPr>
            <w:rStyle w:val="Hyperlink"/>
          </w:rPr>
          <w:t>Numbered Heads Together</w:t>
        </w:r>
      </w:hyperlink>
      <w:r>
        <w:t xml:space="preserve">, </w:t>
      </w:r>
      <w:hyperlink r:id="rId16" w:history="1">
        <w:r w:rsidRPr="005E6EED">
          <w:rPr>
            <w:rStyle w:val="Hyperlink"/>
          </w:rPr>
          <w:t>Inside-Outside Circle</w:t>
        </w:r>
      </w:hyperlink>
      <w:r>
        <w:t xml:space="preserve">, </w:t>
      </w:r>
      <w:hyperlink r:id="rId17" w:history="1">
        <w:r w:rsidRPr="005E6EED">
          <w:rPr>
            <w:rStyle w:val="Hyperlink"/>
          </w:rPr>
          <w:t>Boss-Secretary</w:t>
        </w:r>
      </w:hyperlink>
      <w:r>
        <w:t xml:space="preserve">, </w:t>
      </w:r>
      <w:hyperlink r:id="rId18" w:history="1">
        <w:r w:rsidRPr="005E6EED">
          <w:rPr>
            <w:rStyle w:val="Hyperlink"/>
          </w:rPr>
          <w:t>Rally Coach</w:t>
        </w:r>
      </w:hyperlink>
      <w:r>
        <w:t xml:space="preserve">, </w:t>
      </w:r>
      <w:hyperlink r:id="rId19" w:history="1">
        <w:r w:rsidRPr="005E6EED">
          <w:rPr>
            <w:rStyle w:val="Hyperlink"/>
          </w:rPr>
          <w:t>Bingo</w:t>
        </w:r>
      </w:hyperlink>
      <w:r>
        <w:t xml:space="preserve">, </w:t>
      </w:r>
      <w:hyperlink r:id="rId20" w:history="1">
        <w:r w:rsidRPr="005E6EED">
          <w:rPr>
            <w:rStyle w:val="Hyperlink"/>
          </w:rPr>
          <w:t>Jeopardy</w:t>
        </w:r>
      </w:hyperlink>
      <w:r>
        <w:t xml:space="preserve">, </w:t>
      </w:r>
      <w:r w:rsidR="005E6EED" w:rsidRPr="00D94D10">
        <w:t>Math Practice Board Game</w:t>
      </w:r>
      <w:r w:rsidR="005E6EED">
        <w:t xml:space="preserve">, </w:t>
      </w:r>
      <w:r w:rsidR="00FC33DD">
        <w:t xml:space="preserve">math stations, </w:t>
      </w:r>
      <w:r w:rsidR="001A0FC1">
        <w:t xml:space="preserve">worked examples, </w:t>
      </w:r>
      <w:r>
        <w:t>etc.</w:t>
      </w:r>
    </w:p>
    <w:p w:rsidR="00033266" w:rsidRDefault="00033266" w:rsidP="00340EA0">
      <w:pPr>
        <w:spacing w:after="0" w:line="240" w:lineRule="auto"/>
      </w:pPr>
      <w:r w:rsidRPr="00FC33DD">
        <w:rPr>
          <w:i/>
          <w:u w:val="single"/>
        </w:rPr>
        <w:t>Non-examples:</w:t>
      </w:r>
      <w:r>
        <w:t xml:space="preserve">  Worksheet or textbook problems assigned for homework that students do not understand</w:t>
      </w:r>
    </w:p>
    <w:p w:rsidR="00DF328B" w:rsidRDefault="00DF328B" w:rsidP="00340EA0">
      <w:pPr>
        <w:spacing w:after="0" w:line="240" w:lineRule="auto"/>
      </w:pPr>
    </w:p>
    <w:p w:rsidR="00482B6F" w:rsidRPr="00FC33DD" w:rsidRDefault="00482B6F" w:rsidP="00DF328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</w:rPr>
      </w:pPr>
      <w:r w:rsidRPr="00FC33DD">
        <w:rPr>
          <w:b/>
        </w:rPr>
        <w:t>Reinforcement</w:t>
      </w:r>
      <w:r w:rsidR="00340EA0" w:rsidRPr="00FC33DD">
        <w:rPr>
          <w:b/>
        </w:rPr>
        <w:t xml:space="preserve"> Practice</w:t>
      </w:r>
    </w:p>
    <w:p w:rsidR="00482B6F" w:rsidRDefault="00482B6F" w:rsidP="00340EA0">
      <w:pPr>
        <w:spacing w:after="0" w:line="240" w:lineRule="auto"/>
      </w:pPr>
      <w:r>
        <w:t>Once students have mastered a skill, the teacher provides distributed practice of this skill so that new learning is not forgotten.  Distributed practice should also provide opportuniti</w:t>
      </w:r>
      <w:r w:rsidR="00340EA0">
        <w:t xml:space="preserve">es for students to apply </w:t>
      </w:r>
      <w:r w:rsidR="00FC33DD">
        <w:t xml:space="preserve">previously </w:t>
      </w:r>
      <w:r w:rsidR="00340EA0">
        <w:t>mastered skills in new</w:t>
      </w:r>
      <w:r>
        <w:t xml:space="preserve"> contexts.</w:t>
      </w:r>
    </w:p>
    <w:p w:rsidR="00340EA0" w:rsidRDefault="00340EA0" w:rsidP="00340EA0">
      <w:pPr>
        <w:spacing w:after="0" w:line="240" w:lineRule="auto"/>
      </w:pPr>
      <w:r w:rsidRPr="00FC33DD">
        <w:rPr>
          <w:i/>
          <w:u w:val="single"/>
        </w:rPr>
        <w:t>Examples:</w:t>
      </w:r>
      <w:r>
        <w:t xml:space="preserve"> Five-minute Bell Ringer; textbook skills review section; homework on previous topics; math stations/centers; review games</w:t>
      </w:r>
      <w:r w:rsidR="00027F87">
        <w:t xml:space="preserve"> (I Have … Who Has …)</w:t>
      </w:r>
      <w:r w:rsidR="008C359D">
        <w:t>, etc.</w:t>
      </w:r>
    </w:p>
    <w:p w:rsidR="00340EA0" w:rsidRDefault="00340EA0" w:rsidP="00340EA0">
      <w:pPr>
        <w:spacing w:after="0" w:line="240" w:lineRule="auto"/>
      </w:pPr>
      <w:r w:rsidRPr="00FC33DD">
        <w:rPr>
          <w:i/>
          <w:u w:val="single"/>
        </w:rPr>
        <w:t>Non-examples</w:t>
      </w:r>
      <w:r w:rsidRPr="00260121">
        <w:rPr>
          <w:b/>
        </w:rPr>
        <w:t>:</w:t>
      </w:r>
      <w:r>
        <w:t xml:space="preserve"> </w:t>
      </w:r>
      <w:r w:rsidR="00F94766">
        <w:t>Worksheets where all the problems are alike and do not require students to differentiate between skills; quizzes and t</w:t>
      </w:r>
      <w:r>
        <w:t xml:space="preserve">ests (students should have opportunities to practices skills in many different contexts </w:t>
      </w:r>
      <w:r w:rsidRPr="00340EA0">
        <w:rPr>
          <w:u w:val="single"/>
        </w:rPr>
        <w:t>before</w:t>
      </w:r>
      <w:r>
        <w:t xml:space="preserve"> they are evaluated on them)</w:t>
      </w:r>
    </w:p>
    <w:p w:rsidR="00EE4199" w:rsidRDefault="00EE4199" w:rsidP="00340EA0">
      <w:pPr>
        <w:spacing w:after="0" w:line="240" w:lineRule="auto"/>
      </w:pPr>
    </w:p>
    <w:p w:rsidR="00BA00A2" w:rsidRPr="00FC33DD" w:rsidRDefault="00BA00A2" w:rsidP="00340EA0">
      <w:pPr>
        <w:spacing w:after="0" w:line="240" w:lineRule="auto"/>
        <w:rPr>
          <w:i/>
        </w:rPr>
      </w:pPr>
      <w:r w:rsidRPr="00FC33DD">
        <w:rPr>
          <w:i/>
        </w:rPr>
        <w:t xml:space="preserve">Depending on the </w:t>
      </w:r>
      <w:r w:rsidR="001A0FC1">
        <w:rPr>
          <w:i/>
        </w:rPr>
        <w:t xml:space="preserve">complexity of the </w:t>
      </w:r>
      <w:r w:rsidRPr="00FC33DD">
        <w:rPr>
          <w:i/>
        </w:rPr>
        <w:t>math concept and individual student characteristics, progression through this sequence may happen over a period of days or weeks.  However, students should experience an opening, work period, and closing during each day of instruction.</w:t>
      </w:r>
    </w:p>
    <w:sectPr w:rsidR="00BA00A2" w:rsidRPr="00FC33DD" w:rsidSect="00815C2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C473F"/>
    <w:multiLevelType w:val="hybridMultilevel"/>
    <w:tmpl w:val="8D80D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C23"/>
    <w:rsid w:val="00027F87"/>
    <w:rsid w:val="00033266"/>
    <w:rsid w:val="000F20F6"/>
    <w:rsid w:val="001A0FC1"/>
    <w:rsid w:val="001E5649"/>
    <w:rsid w:val="00260121"/>
    <w:rsid w:val="002E7B7F"/>
    <w:rsid w:val="00340EA0"/>
    <w:rsid w:val="00383323"/>
    <w:rsid w:val="00435979"/>
    <w:rsid w:val="00453EF2"/>
    <w:rsid w:val="00482B6F"/>
    <w:rsid w:val="00485E7B"/>
    <w:rsid w:val="005B69C2"/>
    <w:rsid w:val="005E6EED"/>
    <w:rsid w:val="00600D44"/>
    <w:rsid w:val="0063421C"/>
    <w:rsid w:val="006C007C"/>
    <w:rsid w:val="00796DAA"/>
    <w:rsid w:val="00815C23"/>
    <w:rsid w:val="00870F56"/>
    <w:rsid w:val="008C359D"/>
    <w:rsid w:val="008C7F34"/>
    <w:rsid w:val="008D453B"/>
    <w:rsid w:val="009F1F7B"/>
    <w:rsid w:val="00B44E43"/>
    <w:rsid w:val="00BA00A2"/>
    <w:rsid w:val="00BB3B97"/>
    <w:rsid w:val="00C45553"/>
    <w:rsid w:val="00D94D10"/>
    <w:rsid w:val="00DA33F9"/>
    <w:rsid w:val="00DF328B"/>
    <w:rsid w:val="00EE4199"/>
    <w:rsid w:val="00F72965"/>
    <w:rsid w:val="00F94766"/>
    <w:rsid w:val="00FC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C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3B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C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3B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hyperlink" Target="http://olc.spsd.sk.ca/DE/PD/instr/strats/cattain/index.html" TargetMode="External"/><Relationship Id="rId18" Type="http://schemas.openxmlformats.org/officeDocument/2006/relationships/hyperlink" Target="http://www.usd416.org/pages/uploaded_files/Rally_Coach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diagramLayout" Target="diagrams/layout1.xml"/><Relationship Id="rId12" Type="http://schemas.openxmlformats.org/officeDocument/2006/relationships/hyperlink" Target="http://www.loganschools.org/mathframework/CPA.pdf" TargetMode="External"/><Relationship Id="rId17" Type="http://schemas.openxmlformats.org/officeDocument/2006/relationships/hyperlink" Target="http://www.google.com/url?sa=t&amp;rct=j&amp;q=boss%20secretary%20kagan&amp;source=web&amp;cd=3&amp;ved=0CFMQFjAC&amp;url=http%3A%2F%2Fwww.intentionaldesignacademy.com%2Fuploads%2F8%2F1%2F1%2F7%2F8117177%2Fbosssecretary.doc&amp;ei=N74WUJyWOIjS9ATQrYD4Dw&amp;usg=AFQjCNG9spdh3oP1rs_jyzXq-YStJMXBKA&amp;sig2=i0UX8RrpEXETv-vQcoyvbQ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sd416.org/pages/uploaded_files/Inside_Outside_Circle.pdf" TargetMode="External"/><Relationship Id="rId20" Type="http://schemas.openxmlformats.org/officeDocument/2006/relationships/hyperlink" Target="http://www.gradeamathhelp.com/math-jeopardy.html" TargetMode="Externa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hyperlink" Target="http://www.insidemathematics.org/index.php/commmon-core-math-int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azhull.org.uk/nlc/numbered_heads.htm" TargetMode="External"/><Relationship Id="rId10" Type="http://schemas.microsoft.com/office/2007/relationships/diagramDrawing" Target="diagrams/drawing1.xml"/><Relationship Id="rId19" Type="http://schemas.openxmlformats.org/officeDocument/2006/relationships/hyperlink" Target="http://www.forsythcountyschools.org/its/kadkins/bingo.htm" TargetMode="Externa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hyperlink" Target="http://nlvm.usu.edu/" TargetMode="Externa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D508DB-9EE4-425C-AA76-7243CB5BEF42}" type="doc">
      <dgm:prSet loTypeId="urn:microsoft.com/office/officeart/2005/8/layout/process1" loCatId="process" qsTypeId="urn:microsoft.com/office/officeart/2005/8/quickstyle/simple5" qsCatId="simple" csTypeId="urn:microsoft.com/office/officeart/2005/8/colors/accent1_3" csCatId="accent1" phldr="1"/>
      <dgm:spPr/>
    </dgm:pt>
    <dgm:pt modelId="{26A20375-B759-4192-BDBC-BC1AF63D204C}">
      <dgm:prSet phldrT="[Text]"/>
      <dgm:spPr/>
      <dgm:t>
        <a:bodyPr/>
        <a:lstStyle/>
        <a:p>
          <a:r>
            <a:rPr lang="en-US"/>
            <a:t>Big Picture/Context </a:t>
          </a:r>
        </a:p>
      </dgm:t>
    </dgm:pt>
    <dgm:pt modelId="{4090DC73-5FC3-47DA-8315-17615E41E5AD}" type="parTrans" cxnId="{8C456081-EBC3-4E86-84D8-3D4806E09B5E}">
      <dgm:prSet/>
      <dgm:spPr/>
      <dgm:t>
        <a:bodyPr/>
        <a:lstStyle/>
        <a:p>
          <a:endParaRPr lang="en-US"/>
        </a:p>
      </dgm:t>
    </dgm:pt>
    <dgm:pt modelId="{EFE6D53C-2E32-4BBA-9617-155E2DFE47E3}" type="sibTrans" cxnId="{8C456081-EBC3-4E86-84D8-3D4806E09B5E}">
      <dgm:prSet/>
      <dgm:spPr/>
      <dgm:t>
        <a:bodyPr/>
        <a:lstStyle/>
        <a:p>
          <a:endParaRPr lang="en-US"/>
        </a:p>
      </dgm:t>
    </dgm:pt>
    <dgm:pt modelId="{1A8A1524-24F8-42D7-8259-FDFF0BBC1997}">
      <dgm:prSet phldrT="[Text]"/>
      <dgm:spPr/>
      <dgm:t>
        <a:bodyPr/>
        <a:lstStyle/>
        <a:p>
          <a:r>
            <a:rPr lang="en-US"/>
            <a:t>Skills Practice</a:t>
          </a:r>
        </a:p>
      </dgm:t>
    </dgm:pt>
    <dgm:pt modelId="{0AB87A18-D42C-4AF5-95C5-DA4FC39FF4EB}" type="parTrans" cxnId="{826400A4-628D-4E0B-80D2-54F8509063D4}">
      <dgm:prSet/>
      <dgm:spPr/>
      <dgm:t>
        <a:bodyPr/>
        <a:lstStyle/>
        <a:p>
          <a:endParaRPr lang="en-US"/>
        </a:p>
      </dgm:t>
    </dgm:pt>
    <dgm:pt modelId="{2655C183-40D0-4B44-989B-A6D50975D309}" type="sibTrans" cxnId="{826400A4-628D-4E0B-80D2-54F8509063D4}">
      <dgm:prSet/>
      <dgm:spPr/>
      <dgm:t>
        <a:bodyPr/>
        <a:lstStyle/>
        <a:p>
          <a:endParaRPr lang="en-US"/>
        </a:p>
      </dgm:t>
    </dgm:pt>
    <dgm:pt modelId="{AC27488F-5CF2-4127-B9AC-E28467D5386E}">
      <dgm:prSet phldrT="[Text]"/>
      <dgm:spPr/>
      <dgm:t>
        <a:bodyPr/>
        <a:lstStyle/>
        <a:p>
          <a:r>
            <a:rPr lang="en-US"/>
            <a:t>Reinforcement Practice</a:t>
          </a:r>
        </a:p>
      </dgm:t>
    </dgm:pt>
    <dgm:pt modelId="{FE7B09CD-073C-4693-A647-1E6377342A9F}" type="parTrans" cxnId="{ED89951F-8FAB-4E89-923F-DE13821E476E}">
      <dgm:prSet/>
      <dgm:spPr/>
      <dgm:t>
        <a:bodyPr/>
        <a:lstStyle/>
        <a:p>
          <a:endParaRPr lang="en-US"/>
        </a:p>
      </dgm:t>
    </dgm:pt>
    <dgm:pt modelId="{68CA5FF5-E265-43CA-A0AA-90AE2C767C2F}" type="sibTrans" cxnId="{ED89951F-8FAB-4E89-923F-DE13821E476E}">
      <dgm:prSet/>
      <dgm:spPr/>
      <dgm:t>
        <a:bodyPr/>
        <a:lstStyle/>
        <a:p>
          <a:endParaRPr lang="en-US"/>
        </a:p>
      </dgm:t>
    </dgm:pt>
    <dgm:pt modelId="{39A831DE-D695-4AB1-8972-1FCB91502E23}">
      <dgm:prSet/>
      <dgm:spPr/>
      <dgm:t>
        <a:bodyPr/>
        <a:lstStyle/>
        <a:p>
          <a:r>
            <a:rPr lang="en-US"/>
            <a:t>Sense Making Experiences</a:t>
          </a:r>
        </a:p>
      </dgm:t>
    </dgm:pt>
    <dgm:pt modelId="{7BAF2CF1-ACBC-4986-9B5B-47C820882DC1}" type="parTrans" cxnId="{F8DE2261-422E-45EE-848A-BEA0F166EC8F}">
      <dgm:prSet/>
      <dgm:spPr/>
      <dgm:t>
        <a:bodyPr/>
        <a:lstStyle/>
        <a:p>
          <a:endParaRPr lang="en-US"/>
        </a:p>
      </dgm:t>
    </dgm:pt>
    <dgm:pt modelId="{FF9F8338-8B8D-4D73-BFAF-82B6AA933ADC}" type="sibTrans" cxnId="{F8DE2261-422E-45EE-848A-BEA0F166EC8F}">
      <dgm:prSet/>
      <dgm:spPr/>
      <dgm:t>
        <a:bodyPr/>
        <a:lstStyle/>
        <a:p>
          <a:endParaRPr lang="en-US"/>
        </a:p>
      </dgm:t>
    </dgm:pt>
    <dgm:pt modelId="{B683B960-D609-4A2B-BB4B-587C62AA0731}" type="pres">
      <dgm:prSet presAssocID="{C4D508DB-9EE4-425C-AA76-7243CB5BEF42}" presName="Name0" presStyleCnt="0">
        <dgm:presLayoutVars>
          <dgm:dir/>
          <dgm:resizeHandles val="exact"/>
        </dgm:presLayoutVars>
      </dgm:prSet>
      <dgm:spPr/>
    </dgm:pt>
    <dgm:pt modelId="{9109F8F5-CDA6-43D1-8BC5-7FA07FAE502D}" type="pres">
      <dgm:prSet presAssocID="{26A20375-B759-4192-BDBC-BC1AF63D204C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C74AE2-7BC3-4428-99C8-D85C7642CE68}" type="pres">
      <dgm:prSet presAssocID="{EFE6D53C-2E32-4BBA-9617-155E2DFE47E3}" presName="sibTrans" presStyleLbl="sibTrans2D1" presStyleIdx="0" presStyleCnt="3"/>
      <dgm:spPr/>
      <dgm:t>
        <a:bodyPr/>
        <a:lstStyle/>
        <a:p>
          <a:endParaRPr lang="en-US"/>
        </a:p>
      </dgm:t>
    </dgm:pt>
    <dgm:pt modelId="{81E82C72-142C-4205-831C-EBE3E0961C3A}" type="pres">
      <dgm:prSet presAssocID="{EFE6D53C-2E32-4BBA-9617-155E2DFE47E3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F8B56B21-E6EC-4592-87EC-523572A366D5}" type="pres">
      <dgm:prSet presAssocID="{39A831DE-D695-4AB1-8972-1FCB91502E23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9A1774-6D26-4F4F-9D40-773EB1A0587D}" type="pres">
      <dgm:prSet presAssocID="{FF9F8338-8B8D-4D73-BFAF-82B6AA933ADC}" presName="sibTrans" presStyleLbl="sibTrans2D1" presStyleIdx="1" presStyleCnt="3"/>
      <dgm:spPr/>
      <dgm:t>
        <a:bodyPr/>
        <a:lstStyle/>
        <a:p>
          <a:endParaRPr lang="en-US"/>
        </a:p>
      </dgm:t>
    </dgm:pt>
    <dgm:pt modelId="{8B0A3CED-831E-4F4A-8BEA-C58BD33018DD}" type="pres">
      <dgm:prSet presAssocID="{FF9F8338-8B8D-4D73-BFAF-82B6AA933ADC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BA0D0883-A6D8-4663-AE33-FD9EA26B5BB4}" type="pres">
      <dgm:prSet presAssocID="{1A8A1524-24F8-42D7-8259-FDFF0BBC1997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200917-560D-49B2-9DED-58DC455B1909}" type="pres">
      <dgm:prSet presAssocID="{2655C183-40D0-4B44-989B-A6D50975D309}" presName="sibTrans" presStyleLbl="sibTrans2D1" presStyleIdx="2" presStyleCnt="3"/>
      <dgm:spPr/>
      <dgm:t>
        <a:bodyPr/>
        <a:lstStyle/>
        <a:p>
          <a:endParaRPr lang="en-US"/>
        </a:p>
      </dgm:t>
    </dgm:pt>
    <dgm:pt modelId="{F50AE3B3-87F4-44CD-BF50-6849913A4321}" type="pres">
      <dgm:prSet presAssocID="{2655C183-40D0-4B44-989B-A6D50975D309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1A37DFAC-4D1F-486F-8929-1A01B874700A}" type="pres">
      <dgm:prSet presAssocID="{AC27488F-5CF2-4127-B9AC-E28467D5386E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761B3B6-B924-4A61-A37F-FDE2DF21D314}" type="presOf" srcId="{AC27488F-5CF2-4127-B9AC-E28467D5386E}" destId="{1A37DFAC-4D1F-486F-8929-1A01B874700A}" srcOrd="0" destOrd="0" presId="urn:microsoft.com/office/officeart/2005/8/layout/process1"/>
    <dgm:cxn modelId="{4EB8B33C-7D2B-45EE-A00B-43BCA1080290}" type="presOf" srcId="{FF9F8338-8B8D-4D73-BFAF-82B6AA933ADC}" destId="{B19A1774-6D26-4F4F-9D40-773EB1A0587D}" srcOrd="0" destOrd="0" presId="urn:microsoft.com/office/officeart/2005/8/layout/process1"/>
    <dgm:cxn modelId="{297FA1E4-C3BC-4639-A1D9-F26D6932DB1B}" type="presOf" srcId="{FF9F8338-8B8D-4D73-BFAF-82B6AA933ADC}" destId="{8B0A3CED-831E-4F4A-8BEA-C58BD33018DD}" srcOrd="1" destOrd="0" presId="urn:microsoft.com/office/officeart/2005/8/layout/process1"/>
    <dgm:cxn modelId="{F8DE2261-422E-45EE-848A-BEA0F166EC8F}" srcId="{C4D508DB-9EE4-425C-AA76-7243CB5BEF42}" destId="{39A831DE-D695-4AB1-8972-1FCB91502E23}" srcOrd="1" destOrd="0" parTransId="{7BAF2CF1-ACBC-4986-9B5B-47C820882DC1}" sibTransId="{FF9F8338-8B8D-4D73-BFAF-82B6AA933ADC}"/>
    <dgm:cxn modelId="{BF3A369E-D6BD-4E67-A6A8-6715FD01CECE}" type="presOf" srcId="{C4D508DB-9EE4-425C-AA76-7243CB5BEF42}" destId="{B683B960-D609-4A2B-BB4B-587C62AA0731}" srcOrd="0" destOrd="0" presId="urn:microsoft.com/office/officeart/2005/8/layout/process1"/>
    <dgm:cxn modelId="{16B8008F-9512-4783-A0C6-6B30D0883DCD}" type="presOf" srcId="{2655C183-40D0-4B44-989B-A6D50975D309}" destId="{F50AE3B3-87F4-44CD-BF50-6849913A4321}" srcOrd="1" destOrd="0" presId="urn:microsoft.com/office/officeart/2005/8/layout/process1"/>
    <dgm:cxn modelId="{C1AC86D0-5084-4DE8-8994-6D280955A762}" type="presOf" srcId="{2655C183-40D0-4B44-989B-A6D50975D309}" destId="{0D200917-560D-49B2-9DED-58DC455B1909}" srcOrd="0" destOrd="0" presId="urn:microsoft.com/office/officeart/2005/8/layout/process1"/>
    <dgm:cxn modelId="{F52AFABE-8AD3-47E4-88BA-CDE2137DDFC0}" type="presOf" srcId="{39A831DE-D695-4AB1-8972-1FCB91502E23}" destId="{F8B56B21-E6EC-4592-87EC-523572A366D5}" srcOrd="0" destOrd="0" presId="urn:microsoft.com/office/officeart/2005/8/layout/process1"/>
    <dgm:cxn modelId="{2106788A-1387-4023-B6BE-4907D738FCFD}" type="presOf" srcId="{EFE6D53C-2E32-4BBA-9617-155E2DFE47E3}" destId="{81E82C72-142C-4205-831C-EBE3E0961C3A}" srcOrd="1" destOrd="0" presId="urn:microsoft.com/office/officeart/2005/8/layout/process1"/>
    <dgm:cxn modelId="{69198F62-2D2D-4B31-A98E-311DDDDE0088}" type="presOf" srcId="{EFE6D53C-2E32-4BBA-9617-155E2DFE47E3}" destId="{40C74AE2-7BC3-4428-99C8-D85C7642CE68}" srcOrd="0" destOrd="0" presId="urn:microsoft.com/office/officeart/2005/8/layout/process1"/>
    <dgm:cxn modelId="{ED89951F-8FAB-4E89-923F-DE13821E476E}" srcId="{C4D508DB-9EE4-425C-AA76-7243CB5BEF42}" destId="{AC27488F-5CF2-4127-B9AC-E28467D5386E}" srcOrd="3" destOrd="0" parTransId="{FE7B09CD-073C-4693-A647-1E6377342A9F}" sibTransId="{68CA5FF5-E265-43CA-A0AA-90AE2C767C2F}"/>
    <dgm:cxn modelId="{826400A4-628D-4E0B-80D2-54F8509063D4}" srcId="{C4D508DB-9EE4-425C-AA76-7243CB5BEF42}" destId="{1A8A1524-24F8-42D7-8259-FDFF0BBC1997}" srcOrd="2" destOrd="0" parTransId="{0AB87A18-D42C-4AF5-95C5-DA4FC39FF4EB}" sibTransId="{2655C183-40D0-4B44-989B-A6D50975D309}"/>
    <dgm:cxn modelId="{FFA6167B-E7A8-41C8-B942-B846052F33CE}" type="presOf" srcId="{26A20375-B759-4192-BDBC-BC1AF63D204C}" destId="{9109F8F5-CDA6-43D1-8BC5-7FA07FAE502D}" srcOrd="0" destOrd="0" presId="urn:microsoft.com/office/officeart/2005/8/layout/process1"/>
    <dgm:cxn modelId="{9D78FE3C-EAED-463E-B378-589787DBFC49}" type="presOf" srcId="{1A8A1524-24F8-42D7-8259-FDFF0BBC1997}" destId="{BA0D0883-A6D8-4663-AE33-FD9EA26B5BB4}" srcOrd="0" destOrd="0" presId="urn:microsoft.com/office/officeart/2005/8/layout/process1"/>
    <dgm:cxn modelId="{8C456081-EBC3-4E86-84D8-3D4806E09B5E}" srcId="{C4D508DB-9EE4-425C-AA76-7243CB5BEF42}" destId="{26A20375-B759-4192-BDBC-BC1AF63D204C}" srcOrd="0" destOrd="0" parTransId="{4090DC73-5FC3-47DA-8315-17615E41E5AD}" sibTransId="{EFE6D53C-2E32-4BBA-9617-155E2DFE47E3}"/>
    <dgm:cxn modelId="{0475C50A-2582-4138-9A08-15F2D5CA3B57}" type="presParOf" srcId="{B683B960-D609-4A2B-BB4B-587C62AA0731}" destId="{9109F8F5-CDA6-43D1-8BC5-7FA07FAE502D}" srcOrd="0" destOrd="0" presId="urn:microsoft.com/office/officeart/2005/8/layout/process1"/>
    <dgm:cxn modelId="{C83DA121-BA3D-403F-97B6-B873DDA8CA8D}" type="presParOf" srcId="{B683B960-D609-4A2B-BB4B-587C62AA0731}" destId="{40C74AE2-7BC3-4428-99C8-D85C7642CE68}" srcOrd="1" destOrd="0" presId="urn:microsoft.com/office/officeart/2005/8/layout/process1"/>
    <dgm:cxn modelId="{10D5D6A0-7216-450A-8BDD-1E97FD4C6B70}" type="presParOf" srcId="{40C74AE2-7BC3-4428-99C8-D85C7642CE68}" destId="{81E82C72-142C-4205-831C-EBE3E0961C3A}" srcOrd="0" destOrd="0" presId="urn:microsoft.com/office/officeart/2005/8/layout/process1"/>
    <dgm:cxn modelId="{32BAE700-BCC3-4048-94A8-E4F778913CEA}" type="presParOf" srcId="{B683B960-D609-4A2B-BB4B-587C62AA0731}" destId="{F8B56B21-E6EC-4592-87EC-523572A366D5}" srcOrd="2" destOrd="0" presId="urn:microsoft.com/office/officeart/2005/8/layout/process1"/>
    <dgm:cxn modelId="{EED71FB8-7252-4AE6-862C-179FB38DE392}" type="presParOf" srcId="{B683B960-D609-4A2B-BB4B-587C62AA0731}" destId="{B19A1774-6D26-4F4F-9D40-773EB1A0587D}" srcOrd="3" destOrd="0" presId="urn:microsoft.com/office/officeart/2005/8/layout/process1"/>
    <dgm:cxn modelId="{D2654A93-E089-4D20-BED3-BC37CE7E5B43}" type="presParOf" srcId="{B19A1774-6D26-4F4F-9D40-773EB1A0587D}" destId="{8B0A3CED-831E-4F4A-8BEA-C58BD33018DD}" srcOrd="0" destOrd="0" presId="urn:microsoft.com/office/officeart/2005/8/layout/process1"/>
    <dgm:cxn modelId="{8AEE2512-9595-462F-91A5-154AD96E789F}" type="presParOf" srcId="{B683B960-D609-4A2B-BB4B-587C62AA0731}" destId="{BA0D0883-A6D8-4663-AE33-FD9EA26B5BB4}" srcOrd="4" destOrd="0" presId="urn:microsoft.com/office/officeart/2005/8/layout/process1"/>
    <dgm:cxn modelId="{4F623ABA-0AE2-4352-ACDE-21B084C245D7}" type="presParOf" srcId="{B683B960-D609-4A2B-BB4B-587C62AA0731}" destId="{0D200917-560D-49B2-9DED-58DC455B1909}" srcOrd="5" destOrd="0" presId="urn:microsoft.com/office/officeart/2005/8/layout/process1"/>
    <dgm:cxn modelId="{6F9C353C-E4E4-4566-BED9-915287DF00FB}" type="presParOf" srcId="{0D200917-560D-49B2-9DED-58DC455B1909}" destId="{F50AE3B3-87F4-44CD-BF50-6849913A4321}" srcOrd="0" destOrd="0" presId="urn:microsoft.com/office/officeart/2005/8/layout/process1"/>
    <dgm:cxn modelId="{022ED81F-DD8B-4E18-85DE-226D78E8D6C5}" type="presParOf" srcId="{B683B960-D609-4A2B-BB4B-587C62AA0731}" destId="{1A37DFAC-4D1F-486F-8929-1A01B874700A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109F8F5-CDA6-43D1-8BC5-7FA07FAE502D}">
      <dsp:nvSpPr>
        <dsp:cNvPr id="0" name=""/>
        <dsp:cNvSpPr/>
      </dsp:nvSpPr>
      <dsp:spPr>
        <a:xfrm>
          <a:off x="3962" y="183948"/>
          <a:ext cx="1732471" cy="10394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shade val="8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shade val="8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shade val="8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Big Picture/Context </a:t>
          </a:r>
        </a:p>
      </dsp:txBody>
      <dsp:txXfrm>
        <a:off x="34407" y="214393"/>
        <a:ext cx="1671581" cy="978593"/>
      </dsp:txXfrm>
    </dsp:sp>
    <dsp:sp modelId="{40C74AE2-7BC3-4428-99C8-D85C7642CE68}">
      <dsp:nvSpPr>
        <dsp:cNvPr id="0" name=""/>
        <dsp:cNvSpPr/>
      </dsp:nvSpPr>
      <dsp:spPr>
        <a:xfrm>
          <a:off x="1909681" y="488863"/>
          <a:ext cx="367284" cy="429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shade val="9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shade val="9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shade val="9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909681" y="574794"/>
        <a:ext cx="257099" cy="257791"/>
      </dsp:txXfrm>
    </dsp:sp>
    <dsp:sp modelId="{F8B56B21-E6EC-4592-87EC-523572A366D5}">
      <dsp:nvSpPr>
        <dsp:cNvPr id="0" name=""/>
        <dsp:cNvSpPr/>
      </dsp:nvSpPr>
      <dsp:spPr>
        <a:xfrm>
          <a:off x="2429423" y="183948"/>
          <a:ext cx="1732471" cy="10394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shade val="80000"/>
                <a:hueOff val="102082"/>
                <a:satOff val="-1464"/>
                <a:lumOff val="8538"/>
                <a:alphaOff val="0"/>
                <a:shade val="51000"/>
                <a:satMod val="130000"/>
              </a:schemeClr>
            </a:gs>
            <a:gs pos="80000">
              <a:schemeClr val="accent1">
                <a:shade val="80000"/>
                <a:hueOff val="102082"/>
                <a:satOff val="-1464"/>
                <a:lumOff val="8538"/>
                <a:alphaOff val="0"/>
                <a:shade val="93000"/>
                <a:satMod val="130000"/>
              </a:schemeClr>
            </a:gs>
            <a:gs pos="100000">
              <a:schemeClr val="accent1">
                <a:shade val="80000"/>
                <a:hueOff val="102082"/>
                <a:satOff val="-1464"/>
                <a:lumOff val="853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Sense Making Experiences</a:t>
          </a:r>
        </a:p>
      </dsp:txBody>
      <dsp:txXfrm>
        <a:off x="2459868" y="214393"/>
        <a:ext cx="1671581" cy="978593"/>
      </dsp:txXfrm>
    </dsp:sp>
    <dsp:sp modelId="{B19A1774-6D26-4F4F-9D40-773EB1A0587D}">
      <dsp:nvSpPr>
        <dsp:cNvPr id="0" name=""/>
        <dsp:cNvSpPr/>
      </dsp:nvSpPr>
      <dsp:spPr>
        <a:xfrm>
          <a:off x="4335142" y="488863"/>
          <a:ext cx="367284" cy="429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shade val="90000"/>
                <a:hueOff val="153150"/>
                <a:satOff val="-2127"/>
                <a:lumOff val="11477"/>
                <a:alphaOff val="0"/>
                <a:shade val="51000"/>
                <a:satMod val="130000"/>
              </a:schemeClr>
            </a:gs>
            <a:gs pos="80000">
              <a:schemeClr val="accent1">
                <a:shade val="90000"/>
                <a:hueOff val="153150"/>
                <a:satOff val="-2127"/>
                <a:lumOff val="11477"/>
                <a:alphaOff val="0"/>
                <a:shade val="93000"/>
                <a:satMod val="130000"/>
              </a:schemeClr>
            </a:gs>
            <a:gs pos="100000">
              <a:schemeClr val="accent1">
                <a:shade val="90000"/>
                <a:hueOff val="153150"/>
                <a:satOff val="-2127"/>
                <a:lumOff val="114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335142" y="574794"/>
        <a:ext cx="257099" cy="257791"/>
      </dsp:txXfrm>
    </dsp:sp>
    <dsp:sp modelId="{BA0D0883-A6D8-4663-AE33-FD9EA26B5BB4}">
      <dsp:nvSpPr>
        <dsp:cNvPr id="0" name=""/>
        <dsp:cNvSpPr/>
      </dsp:nvSpPr>
      <dsp:spPr>
        <a:xfrm>
          <a:off x="4854883" y="183948"/>
          <a:ext cx="1732471" cy="10394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shade val="80000"/>
                <a:hueOff val="204164"/>
                <a:satOff val="-2928"/>
                <a:lumOff val="17077"/>
                <a:alphaOff val="0"/>
                <a:shade val="51000"/>
                <a:satMod val="130000"/>
              </a:schemeClr>
            </a:gs>
            <a:gs pos="80000">
              <a:schemeClr val="accent1">
                <a:shade val="80000"/>
                <a:hueOff val="204164"/>
                <a:satOff val="-2928"/>
                <a:lumOff val="17077"/>
                <a:alphaOff val="0"/>
                <a:shade val="93000"/>
                <a:satMod val="130000"/>
              </a:schemeClr>
            </a:gs>
            <a:gs pos="100000">
              <a:schemeClr val="accent1">
                <a:shade val="80000"/>
                <a:hueOff val="204164"/>
                <a:satOff val="-2928"/>
                <a:lumOff val="170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Skills Practice</a:t>
          </a:r>
        </a:p>
      </dsp:txBody>
      <dsp:txXfrm>
        <a:off x="4885328" y="214393"/>
        <a:ext cx="1671581" cy="978593"/>
      </dsp:txXfrm>
    </dsp:sp>
    <dsp:sp modelId="{0D200917-560D-49B2-9DED-58DC455B1909}">
      <dsp:nvSpPr>
        <dsp:cNvPr id="0" name=""/>
        <dsp:cNvSpPr/>
      </dsp:nvSpPr>
      <dsp:spPr>
        <a:xfrm>
          <a:off x="6760603" y="488863"/>
          <a:ext cx="367284" cy="42965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shade val="90000"/>
                <a:hueOff val="306300"/>
                <a:satOff val="-4255"/>
                <a:lumOff val="22954"/>
                <a:alphaOff val="0"/>
                <a:shade val="51000"/>
                <a:satMod val="130000"/>
              </a:schemeClr>
            </a:gs>
            <a:gs pos="80000">
              <a:schemeClr val="accent1">
                <a:shade val="90000"/>
                <a:hueOff val="306300"/>
                <a:satOff val="-4255"/>
                <a:lumOff val="22954"/>
                <a:alphaOff val="0"/>
                <a:shade val="93000"/>
                <a:satMod val="130000"/>
              </a:schemeClr>
            </a:gs>
            <a:gs pos="100000">
              <a:schemeClr val="accent1">
                <a:shade val="90000"/>
                <a:hueOff val="306300"/>
                <a:satOff val="-4255"/>
                <a:lumOff val="2295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6760603" y="574794"/>
        <a:ext cx="257099" cy="257791"/>
      </dsp:txXfrm>
    </dsp:sp>
    <dsp:sp modelId="{1A37DFAC-4D1F-486F-8929-1A01B874700A}">
      <dsp:nvSpPr>
        <dsp:cNvPr id="0" name=""/>
        <dsp:cNvSpPr/>
      </dsp:nvSpPr>
      <dsp:spPr>
        <a:xfrm>
          <a:off x="7280344" y="183948"/>
          <a:ext cx="1732471" cy="10394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shade val="80000"/>
                <a:hueOff val="306246"/>
                <a:satOff val="-4392"/>
                <a:lumOff val="25615"/>
                <a:alphaOff val="0"/>
                <a:shade val="51000"/>
                <a:satMod val="130000"/>
              </a:schemeClr>
            </a:gs>
            <a:gs pos="80000">
              <a:schemeClr val="accent1">
                <a:shade val="80000"/>
                <a:hueOff val="306246"/>
                <a:satOff val="-4392"/>
                <a:lumOff val="25615"/>
                <a:alphaOff val="0"/>
                <a:shade val="93000"/>
                <a:satMod val="130000"/>
              </a:schemeClr>
            </a:gs>
            <a:gs pos="100000">
              <a:schemeClr val="accent1">
                <a:shade val="80000"/>
                <a:hueOff val="306246"/>
                <a:satOff val="-4392"/>
                <a:lumOff val="2561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Reinforcement Practice</a:t>
          </a:r>
        </a:p>
      </dsp:txBody>
      <dsp:txXfrm>
        <a:off x="7310789" y="214393"/>
        <a:ext cx="1671581" cy="9785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Public Schools-.IT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2013-03-27T18:37:00Z</dcterms:created>
  <dcterms:modified xsi:type="dcterms:W3CDTF">2013-03-27T18:39:00Z</dcterms:modified>
</cp:coreProperties>
</file>